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92B89" w14:textId="77777777" w:rsidR="006E4730" w:rsidRDefault="00000000">
      <w:pPr>
        <w:spacing w:after="108" w:line="259" w:lineRule="auto"/>
        <w:ind w:left="0" w:right="4023" w:firstLine="0"/>
      </w:pPr>
      <w:r>
        <w:rPr>
          <w:noProof/>
        </w:rPr>
        <w:drawing>
          <wp:anchor distT="0" distB="0" distL="114300" distR="114300" simplePos="0" relativeHeight="251658240" behindDoc="0" locked="0" layoutInCell="1" allowOverlap="0" wp14:anchorId="6CF20AED" wp14:editId="1C9A251B">
            <wp:simplePos x="0" y="0"/>
            <wp:positionH relativeFrom="column">
              <wp:posOffset>2542667</wp:posOffset>
            </wp:positionH>
            <wp:positionV relativeFrom="paragraph">
              <wp:posOffset>-102891</wp:posOffset>
            </wp:positionV>
            <wp:extent cx="1347216" cy="1380744"/>
            <wp:effectExtent l="0" t="0" r="0" b="0"/>
            <wp:wrapSquare wrapText="bothSides"/>
            <wp:docPr id="8605" name="Picture 8605"/>
            <wp:cNvGraphicFramePr/>
            <a:graphic xmlns:a="http://schemas.openxmlformats.org/drawingml/2006/main">
              <a:graphicData uri="http://schemas.openxmlformats.org/drawingml/2006/picture">
                <pic:pic xmlns:pic="http://schemas.openxmlformats.org/drawingml/2006/picture">
                  <pic:nvPicPr>
                    <pic:cNvPr id="8605" name="Picture 8605"/>
                    <pic:cNvPicPr/>
                  </pic:nvPicPr>
                  <pic:blipFill>
                    <a:blip r:embed="rId8"/>
                    <a:stretch>
                      <a:fillRect/>
                    </a:stretch>
                  </pic:blipFill>
                  <pic:spPr>
                    <a:xfrm>
                      <a:off x="0" y="0"/>
                      <a:ext cx="1347216" cy="1380744"/>
                    </a:xfrm>
                    <a:prstGeom prst="rect">
                      <a:avLst/>
                    </a:prstGeom>
                  </pic:spPr>
                </pic:pic>
              </a:graphicData>
            </a:graphic>
          </wp:anchor>
        </w:drawing>
      </w:r>
      <w:r>
        <w:rPr>
          <w:b/>
          <w:color w:val="855A55"/>
          <w:sz w:val="16"/>
        </w:rPr>
        <w:t xml:space="preserve"> </w:t>
      </w:r>
    </w:p>
    <w:p w14:paraId="5A5803E7" w14:textId="77777777" w:rsidR="006E4730" w:rsidRDefault="00000000">
      <w:pPr>
        <w:spacing w:after="106" w:line="259" w:lineRule="auto"/>
        <w:ind w:left="0" w:right="4023" w:firstLine="0"/>
      </w:pPr>
      <w:r>
        <w:rPr>
          <w:b/>
          <w:color w:val="855A55"/>
          <w:sz w:val="16"/>
        </w:rPr>
        <w:t xml:space="preserve"> </w:t>
      </w:r>
    </w:p>
    <w:p w14:paraId="7D9AACA6" w14:textId="77777777" w:rsidR="006E4730" w:rsidRDefault="00000000">
      <w:pPr>
        <w:tabs>
          <w:tab w:val="right" w:pos="10143"/>
        </w:tabs>
        <w:spacing w:after="111" w:line="259" w:lineRule="auto"/>
        <w:ind w:left="-15" w:firstLine="0"/>
      </w:pPr>
      <w:proofErr w:type="gramStart"/>
      <w:r>
        <w:rPr>
          <w:b/>
          <w:color w:val="855A55"/>
          <w:sz w:val="16"/>
        </w:rPr>
        <w:t>BELVEDERE  •</w:t>
      </w:r>
      <w:proofErr w:type="gramEnd"/>
      <w:r>
        <w:rPr>
          <w:b/>
          <w:color w:val="855A55"/>
          <w:sz w:val="16"/>
        </w:rPr>
        <w:t xml:space="preserve">  CORTE MADERA  •  FAIRFAX  </w:t>
      </w:r>
      <w:r>
        <w:rPr>
          <w:b/>
          <w:color w:val="855A55"/>
          <w:sz w:val="16"/>
        </w:rPr>
        <w:tab/>
        <w:t xml:space="preserve">                    LARKSPUR  •  MILL VALLEY  •  NOVATO </w:t>
      </w:r>
    </w:p>
    <w:p w14:paraId="31DE668C" w14:textId="77777777" w:rsidR="006E4730" w:rsidRDefault="00000000">
      <w:pPr>
        <w:tabs>
          <w:tab w:val="center" w:pos="6477"/>
          <w:tab w:val="center" w:pos="8547"/>
        </w:tabs>
        <w:spacing w:after="162" w:line="259" w:lineRule="auto"/>
        <w:ind w:left="-15" w:firstLine="0"/>
      </w:pPr>
      <w:r>
        <w:rPr>
          <w:b/>
          <w:color w:val="855A55"/>
          <w:sz w:val="16"/>
        </w:rPr>
        <w:t xml:space="preserve">           SAN </w:t>
      </w:r>
      <w:proofErr w:type="gramStart"/>
      <w:r>
        <w:rPr>
          <w:b/>
          <w:color w:val="855A55"/>
          <w:sz w:val="16"/>
        </w:rPr>
        <w:t>ANSELMO  •</w:t>
      </w:r>
      <w:proofErr w:type="gramEnd"/>
      <w:r>
        <w:rPr>
          <w:b/>
          <w:color w:val="855A55"/>
          <w:sz w:val="16"/>
        </w:rPr>
        <w:t xml:space="preserve">  SAN RAFAEL   </w:t>
      </w:r>
      <w:r>
        <w:rPr>
          <w:b/>
          <w:color w:val="855A55"/>
          <w:sz w:val="16"/>
        </w:rPr>
        <w:tab/>
        <w:t xml:space="preserve"> </w:t>
      </w:r>
      <w:r>
        <w:rPr>
          <w:b/>
          <w:color w:val="855A55"/>
          <w:sz w:val="16"/>
        </w:rPr>
        <w:tab/>
        <w:t xml:space="preserve">      ROSS  •  SAUSALITO  •  TIBURON</w:t>
      </w:r>
      <w:r>
        <w:rPr>
          <w:b/>
          <w:sz w:val="16"/>
        </w:rPr>
        <w:t xml:space="preserve"> </w:t>
      </w:r>
    </w:p>
    <w:p w14:paraId="3C10E7A5" w14:textId="77777777" w:rsidR="006E4730" w:rsidRDefault="00000000">
      <w:pPr>
        <w:spacing w:after="0" w:line="259" w:lineRule="auto"/>
        <w:ind w:left="0" w:right="4023" w:firstLine="0"/>
      </w:pPr>
      <w:r>
        <w:rPr>
          <w:sz w:val="22"/>
        </w:rPr>
        <w:t xml:space="preserve"> </w:t>
      </w:r>
    </w:p>
    <w:p w14:paraId="6F937629" w14:textId="77777777" w:rsidR="006E4730" w:rsidRDefault="00000000">
      <w:pPr>
        <w:spacing w:after="0" w:line="259" w:lineRule="auto"/>
        <w:ind w:left="0" w:right="4023" w:firstLine="0"/>
      </w:pPr>
      <w:r>
        <w:rPr>
          <w:sz w:val="22"/>
        </w:rPr>
        <w:t xml:space="preserve"> </w:t>
      </w:r>
    </w:p>
    <w:p w14:paraId="0728FF34" w14:textId="77777777" w:rsidR="006E4730" w:rsidRDefault="00000000">
      <w:pPr>
        <w:spacing w:after="0" w:line="259" w:lineRule="auto"/>
        <w:ind w:left="0" w:right="4023" w:firstLine="0"/>
      </w:pPr>
      <w:r>
        <w:rPr>
          <w:sz w:val="22"/>
        </w:rPr>
        <w:t xml:space="preserve"> </w:t>
      </w:r>
    </w:p>
    <w:p w14:paraId="4AD32E8E" w14:textId="77777777" w:rsidR="006E4730" w:rsidRDefault="00000000">
      <w:pPr>
        <w:spacing w:after="0" w:line="259" w:lineRule="auto"/>
        <w:ind w:left="684" w:firstLine="0"/>
      </w:pPr>
      <w:r>
        <w:rPr>
          <w:sz w:val="20"/>
        </w:rPr>
        <w:t xml:space="preserve"> </w:t>
      </w:r>
    </w:p>
    <w:p w14:paraId="6B4F761F" w14:textId="065E311B" w:rsidR="006E4730" w:rsidRDefault="006E4730" w:rsidP="002F2303">
      <w:pPr>
        <w:spacing w:after="0" w:line="259" w:lineRule="auto"/>
        <w:ind w:left="684" w:firstLine="0"/>
      </w:pPr>
    </w:p>
    <w:p w14:paraId="62736F62" w14:textId="77777777" w:rsidR="006E4730" w:rsidRDefault="00000000">
      <w:pPr>
        <w:spacing w:after="0" w:line="259" w:lineRule="auto"/>
        <w:ind w:left="10" w:right="61"/>
        <w:jc w:val="center"/>
      </w:pPr>
      <w:r>
        <w:rPr>
          <w:b/>
        </w:rPr>
        <w:t xml:space="preserve">MCCMC LEGISLATIVE COMMITTEE MEETING </w:t>
      </w:r>
    </w:p>
    <w:p w14:paraId="0184EC2E" w14:textId="0E800F80" w:rsidR="006E4730" w:rsidRDefault="00000000">
      <w:pPr>
        <w:spacing w:after="0" w:line="259" w:lineRule="auto"/>
        <w:ind w:left="10" w:right="65"/>
        <w:jc w:val="center"/>
      </w:pPr>
      <w:r>
        <w:rPr>
          <w:b/>
        </w:rPr>
        <w:t>MONDAY, FEBRUARY 2</w:t>
      </w:r>
      <w:r w:rsidR="002F2303">
        <w:rPr>
          <w:b/>
        </w:rPr>
        <w:t>6</w:t>
      </w:r>
      <w:r>
        <w:rPr>
          <w:b/>
        </w:rPr>
        <w:t xml:space="preserve">, </w:t>
      </w:r>
      <w:r w:rsidR="002F2303">
        <w:rPr>
          <w:b/>
        </w:rPr>
        <w:t>2024___</w:t>
      </w:r>
      <w:r>
        <w:rPr>
          <w:b/>
        </w:rPr>
        <w:t xml:space="preserve">8:00 AM </w:t>
      </w:r>
    </w:p>
    <w:p w14:paraId="63655190" w14:textId="38A3277B" w:rsidR="006E4730" w:rsidRPr="006168A2" w:rsidRDefault="00000000">
      <w:pPr>
        <w:spacing w:after="0" w:line="259" w:lineRule="auto"/>
        <w:ind w:left="0" w:right="5" w:firstLine="0"/>
        <w:jc w:val="center"/>
        <w:rPr>
          <w:szCs w:val="24"/>
        </w:rPr>
      </w:pPr>
      <w:r>
        <w:rPr>
          <w:b/>
        </w:rPr>
        <w:t xml:space="preserve">TELECONFERENCE: </w:t>
      </w:r>
      <w:hyperlink r:id="rId9" w:tgtFrame="_blank" w:history="1">
        <w:r w:rsidR="006168A2" w:rsidRPr="006168A2">
          <w:rPr>
            <w:rStyle w:val="Hyperlink"/>
            <w:szCs w:val="24"/>
          </w:rPr>
          <w:t>https://us06web.zoom.us/j/84625771862?pwd=sJg2RZVZBlfNYTaP3WvX1Wq69p2ax5.1</w:t>
        </w:r>
      </w:hyperlink>
    </w:p>
    <w:p w14:paraId="40F6EBA3" w14:textId="77777777" w:rsidR="006E4730" w:rsidRDefault="00000000">
      <w:pPr>
        <w:spacing w:after="0" w:line="259" w:lineRule="auto"/>
        <w:ind w:left="10" w:right="6"/>
        <w:jc w:val="center"/>
      </w:pPr>
      <w:r>
        <w:rPr>
          <w:b/>
        </w:rPr>
        <w:t xml:space="preserve">CALL-IN NUMBER: +1 669 444 9171 </w:t>
      </w:r>
    </w:p>
    <w:p w14:paraId="5BBAA7DA" w14:textId="3C80CBE6" w:rsidR="006E4730" w:rsidRDefault="00000000">
      <w:pPr>
        <w:spacing w:after="0" w:line="259" w:lineRule="auto"/>
        <w:ind w:left="10" w:right="6"/>
        <w:jc w:val="center"/>
      </w:pPr>
      <w:r>
        <w:rPr>
          <w:b/>
        </w:rPr>
        <w:t>MEETING ID: 8</w:t>
      </w:r>
      <w:r w:rsidR="006168A2">
        <w:rPr>
          <w:b/>
        </w:rPr>
        <w:t>46</w:t>
      </w:r>
      <w:r>
        <w:rPr>
          <w:b/>
        </w:rPr>
        <w:t xml:space="preserve"> </w:t>
      </w:r>
      <w:r w:rsidR="006168A2">
        <w:rPr>
          <w:b/>
        </w:rPr>
        <w:t>2577</w:t>
      </w:r>
      <w:r>
        <w:rPr>
          <w:b/>
        </w:rPr>
        <w:t xml:space="preserve"> </w:t>
      </w:r>
      <w:r w:rsidR="006168A2">
        <w:rPr>
          <w:b/>
        </w:rPr>
        <w:t>1862</w:t>
      </w:r>
      <w:r>
        <w:rPr>
          <w:b/>
        </w:rPr>
        <w:t xml:space="preserve"> </w:t>
      </w:r>
    </w:p>
    <w:p w14:paraId="22C635A8" w14:textId="77777777" w:rsidR="006E4730" w:rsidRDefault="00000000">
      <w:pPr>
        <w:spacing w:after="0" w:line="259" w:lineRule="auto"/>
        <w:ind w:left="54" w:firstLine="0"/>
        <w:jc w:val="center"/>
      </w:pPr>
      <w:r>
        <w:rPr>
          <w:b/>
        </w:rPr>
        <w:t xml:space="preserve"> </w:t>
      </w:r>
    </w:p>
    <w:p w14:paraId="2905313E" w14:textId="77777777" w:rsidR="006E4730" w:rsidRDefault="00000000">
      <w:pPr>
        <w:spacing w:after="0" w:line="259" w:lineRule="auto"/>
        <w:ind w:left="10" w:right="3"/>
        <w:jc w:val="center"/>
      </w:pPr>
      <w:r>
        <w:rPr>
          <w:b/>
        </w:rPr>
        <w:t xml:space="preserve">AGENDA </w:t>
      </w:r>
    </w:p>
    <w:p w14:paraId="473EEEBD" w14:textId="77777777" w:rsidR="006E4730" w:rsidRDefault="00000000">
      <w:pPr>
        <w:spacing w:after="0" w:line="259" w:lineRule="auto"/>
        <w:ind w:left="0" w:firstLine="0"/>
      </w:pPr>
      <w:r>
        <w:rPr>
          <w:b/>
        </w:rPr>
        <w:t xml:space="preserve"> </w:t>
      </w:r>
    </w:p>
    <w:p w14:paraId="5459B2FC" w14:textId="38E4D2A0" w:rsidR="006E4730" w:rsidRDefault="00000000">
      <w:pPr>
        <w:spacing w:after="4" w:line="259" w:lineRule="auto"/>
        <w:ind w:left="1272"/>
      </w:pPr>
      <w:r>
        <w:rPr>
          <w:b/>
          <w:sz w:val="22"/>
        </w:rPr>
        <w:t>A.</w:t>
      </w:r>
      <w:r>
        <w:rPr>
          <w:rFonts w:ascii="Arial" w:eastAsia="Arial" w:hAnsi="Arial" w:cs="Arial"/>
          <w:b/>
          <w:sz w:val="22"/>
        </w:rPr>
        <w:t xml:space="preserve"> </w:t>
      </w:r>
      <w:r>
        <w:rPr>
          <w:b/>
        </w:rPr>
        <w:t>WELCOME/</w:t>
      </w:r>
      <w:r w:rsidR="00100A23">
        <w:rPr>
          <w:b/>
        </w:rPr>
        <w:t>INTRODUCTIONS</w:t>
      </w:r>
      <w:r>
        <w:rPr>
          <w:b/>
        </w:rPr>
        <w:t xml:space="preserve"> </w:t>
      </w:r>
    </w:p>
    <w:p w14:paraId="10343DB9" w14:textId="77777777" w:rsidR="006E4730" w:rsidRPr="002D0D20" w:rsidRDefault="00000000">
      <w:pPr>
        <w:spacing w:after="0" w:line="259" w:lineRule="auto"/>
        <w:ind w:left="1637" w:firstLine="0"/>
      </w:pPr>
      <w:r w:rsidRPr="002D0D20">
        <w:t xml:space="preserve"> </w:t>
      </w:r>
    </w:p>
    <w:p w14:paraId="3F30A352" w14:textId="77777777" w:rsidR="006E4730" w:rsidRPr="002D0D20" w:rsidRDefault="00000000">
      <w:pPr>
        <w:pStyle w:val="Heading1"/>
        <w:ind w:left="1272" w:right="0"/>
      </w:pPr>
      <w:r w:rsidRPr="002D0D20">
        <w:rPr>
          <w:sz w:val="22"/>
        </w:rPr>
        <w:t>B.</w:t>
      </w:r>
      <w:r w:rsidRPr="002D0D20">
        <w:rPr>
          <w:rFonts w:eastAsia="Arial"/>
          <w:sz w:val="22"/>
        </w:rPr>
        <w:t xml:space="preserve"> </w:t>
      </w:r>
      <w:r w:rsidRPr="002D0D20">
        <w:t xml:space="preserve">REPORTS </w:t>
      </w:r>
    </w:p>
    <w:p w14:paraId="47F654B5" w14:textId="0E63BB3E" w:rsidR="006E4730" w:rsidRPr="002D0D20" w:rsidRDefault="00000000">
      <w:r w:rsidRPr="002D0D20">
        <w:t>Nancy Hall Bennet</w:t>
      </w:r>
      <w:r w:rsidR="002F2303" w:rsidRPr="002D0D20">
        <w:t xml:space="preserve">, </w:t>
      </w:r>
      <w:r w:rsidRPr="002D0D20">
        <w:t>League of California Cities</w:t>
      </w:r>
      <w:r w:rsidR="002F2303" w:rsidRPr="002D0D20">
        <w:t xml:space="preserve">: </w:t>
      </w:r>
      <w:r w:rsidRPr="002D0D20">
        <w:t xml:space="preserve"> </w:t>
      </w:r>
      <w:r w:rsidR="002F2303" w:rsidRPr="002D0D20">
        <w:t>Ballot Measures</w:t>
      </w:r>
    </w:p>
    <w:p w14:paraId="728EE4EB" w14:textId="5E40F511" w:rsidR="006E4730" w:rsidRDefault="002F2303" w:rsidP="002F2303">
      <w:pPr>
        <w:rPr>
          <w:color w:val="222222"/>
          <w:szCs w:val="24"/>
          <w:shd w:val="clear" w:color="auto" w:fill="FFFFFF"/>
        </w:rPr>
      </w:pPr>
      <w:r w:rsidRPr="002D0D20">
        <w:t>Kyra Ross, Emanuels Jones &amp; Associates</w:t>
      </w:r>
      <w:r w:rsidRPr="002D0D20">
        <w:rPr>
          <w:szCs w:val="24"/>
        </w:rPr>
        <w:t xml:space="preserve">: </w:t>
      </w:r>
      <w:r w:rsidRPr="002D0D20">
        <w:rPr>
          <w:color w:val="222222"/>
          <w:szCs w:val="24"/>
          <w:shd w:val="clear" w:color="auto" w:fill="FFFFFF"/>
        </w:rPr>
        <w:t>Overview of Bills to Watch</w:t>
      </w:r>
    </w:p>
    <w:p w14:paraId="6EF108B9" w14:textId="5E7A2EC8" w:rsidR="006E4730" w:rsidRPr="002D0D20" w:rsidRDefault="009A3744" w:rsidP="009A3744">
      <w:r>
        <w:rPr>
          <w:color w:val="222222"/>
          <w:szCs w:val="24"/>
          <w:shd w:val="clear" w:color="auto" w:fill="FFFFFF"/>
        </w:rPr>
        <w:tab/>
      </w:r>
      <w:r>
        <w:rPr>
          <w:color w:val="222222"/>
          <w:szCs w:val="24"/>
          <w:shd w:val="clear" w:color="auto" w:fill="FFFFFF"/>
        </w:rPr>
        <w:tab/>
      </w:r>
      <w:r>
        <w:rPr>
          <w:color w:val="222222"/>
          <w:szCs w:val="24"/>
          <w:shd w:val="clear" w:color="auto" w:fill="FFFFFF"/>
        </w:rPr>
        <w:tab/>
      </w:r>
      <w:r w:rsidRPr="002D0D20">
        <w:t xml:space="preserve"> </w:t>
      </w:r>
    </w:p>
    <w:p w14:paraId="2FE89D11" w14:textId="77777777" w:rsidR="006E4730" w:rsidRPr="002D0D20" w:rsidRDefault="00000000">
      <w:pPr>
        <w:pStyle w:val="Heading1"/>
        <w:ind w:left="1272" w:right="0"/>
      </w:pPr>
      <w:r w:rsidRPr="002D0D20">
        <w:rPr>
          <w:sz w:val="22"/>
        </w:rPr>
        <w:t>C.</w:t>
      </w:r>
      <w:r w:rsidRPr="002D0D20">
        <w:rPr>
          <w:rFonts w:eastAsia="Arial"/>
          <w:sz w:val="22"/>
        </w:rPr>
        <w:t xml:space="preserve"> </w:t>
      </w:r>
      <w:r w:rsidRPr="002D0D20">
        <w:t xml:space="preserve">UPDATES </w:t>
      </w:r>
    </w:p>
    <w:p w14:paraId="5403AF00" w14:textId="7009F3F0" w:rsidR="006E4730" w:rsidRPr="002D0D20" w:rsidRDefault="00000000" w:rsidP="002F2303">
      <w:r w:rsidRPr="002D0D20">
        <w:rPr>
          <w:rFonts w:eastAsia="Segoe UI Symbol"/>
        </w:rPr>
        <w:t>•</w:t>
      </w:r>
      <w:r w:rsidRPr="002D0D20">
        <w:rPr>
          <w:rFonts w:eastAsia="Arial"/>
        </w:rPr>
        <w:t xml:space="preserve"> </w:t>
      </w:r>
      <w:r w:rsidR="002F2303" w:rsidRPr="002D0D20">
        <w:rPr>
          <w:color w:val="222222"/>
          <w:shd w:val="clear" w:color="auto" w:fill="FFFFFF"/>
        </w:rPr>
        <w:t>(None) </w:t>
      </w:r>
    </w:p>
    <w:p w14:paraId="2C5D7DA0" w14:textId="77777777" w:rsidR="006E4730" w:rsidRPr="002D0D20" w:rsidRDefault="00000000">
      <w:pPr>
        <w:spacing w:after="18" w:line="259" w:lineRule="auto"/>
        <w:ind w:left="0" w:firstLine="0"/>
      </w:pPr>
      <w:r w:rsidRPr="002D0D20">
        <w:rPr>
          <w:i/>
          <w:sz w:val="20"/>
        </w:rPr>
        <w:t xml:space="preserve"> </w:t>
      </w:r>
    </w:p>
    <w:p w14:paraId="19A928D0" w14:textId="77777777" w:rsidR="006E4730" w:rsidRPr="002D0D20" w:rsidRDefault="00000000">
      <w:pPr>
        <w:pStyle w:val="Heading1"/>
        <w:ind w:left="1272" w:right="0"/>
      </w:pPr>
      <w:r w:rsidRPr="002D0D20">
        <w:rPr>
          <w:sz w:val="22"/>
        </w:rPr>
        <w:t>D.</w:t>
      </w:r>
      <w:r w:rsidRPr="002D0D20">
        <w:rPr>
          <w:rFonts w:eastAsia="Arial"/>
          <w:sz w:val="22"/>
        </w:rPr>
        <w:t xml:space="preserve"> </w:t>
      </w:r>
      <w:r w:rsidRPr="002D0D20">
        <w:t xml:space="preserve">COMMITTEE BUSINESS </w:t>
      </w:r>
    </w:p>
    <w:p w14:paraId="55357C42" w14:textId="3A51E53C" w:rsidR="002F2303" w:rsidRPr="002D0D20" w:rsidRDefault="002F2303" w:rsidP="002F2303">
      <w:r w:rsidRPr="002D0D20">
        <w:rPr>
          <w:rFonts w:eastAsia="Segoe UI Symbol"/>
        </w:rPr>
        <w:t>•</w:t>
      </w:r>
      <w:r w:rsidRPr="002D0D20">
        <w:rPr>
          <w:rFonts w:eastAsia="Arial"/>
        </w:rPr>
        <w:t xml:space="preserve"> </w:t>
      </w:r>
      <w:r w:rsidRPr="002D0D20">
        <w:rPr>
          <w:color w:val="222222"/>
          <w:shd w:val="clear" w:color="auto" w:fill="FFFFFF"/>
        </w:rPr>
        <w:t>(None) </w:t>
      </w:r>
    </w:p>
    <w:p w14:paraId="377825D7" w14:textId="14FEE430" w:rsidR="006E4730" w:rsidRPr="002D0D20" w:rsidRDefault="006E4730" w:rsidP="002F2303">
      <w:pPr>
        <w:pStyle w:val="ListParagraph"/>
        <w:ind w:left="1272" w:right="1322" w:firstLine="0"/>
      </w:pPr>
    </w:p>
    <w:p w14:paraId="17507A8E" w14:textId="77777777" w:rsidR="006E4730" w:rsidRPr="002D0D20" w:rsidRDefault="00000000">
      <w:pPr>
        <w:spacing w:after="4" w:line="259" w:lineRule="auto"/>
        <w:ind w:left="1272"/>
      </w:pPr>
      <w:r w:rsidRPr="002D0D20">
        <w:rPr>
          <w:b/>
          <w:sz w:val="22"/>
        </w:rPr>
        <w:t>E.</w:t>
      </w:r>
      <w:r w:rsidRPr="002D0D20">
        <w:rPr>
          <w:rFonts w:eastAsia="Arial"/>
          <w:b/>
          <w:sz w:val="22"/>
        </w:rPr>
        <w:t xml:space="preserve"> </w:t>
      </w:r>
      <w:r w:rsidRPr="002D0D20">
        <w:rPr>
          <w:b/>
        </w:rPr>
        <w:t xml:space="preserve">CHAIRS REPORT </w:t>
      </w:r>
    </w:p>
    <w:p w14:paraId="057A5E13" w14:textId="77777777" w:rsidR="006E4730" w:rsidRPr="002D0D20" w:rsidRDefault="00000000">
      <w:pPr>
        <w:spacing w:after="169" w:line="259" w:lineRule="auto"/>
        <w:ind w:left="10" w:right="1190"/>
        <w:jc w:val="center"/>
      </w:pPr>
      <w:r w:rsidRPr="002D0D20">
        <w:t>1.</w:t>
      </w:r>
      <w:r w:rsidRPr="002D0D20">
        <w:rPr>
          <w:rFonts w:eastAsia="Arial"/>
        </w:rPr>
        <w:t xml:space="preserve"> </w:t>
      </w:r>
      <w:r w:rsidRPr="002D0D20">
        <w:t xml:space="preserve"> General Chair Committee Update </w:t>
      </w:r>
    </w:p>
    <w:p w14:paraId="4277B321" w14:textId="77777777" w:rsidR="006E4730" w:rsidRPr="002D0D20" w:rsidRDefault="00000000">
      <w:pPr>
        <w:pStyle w:val="Heading1"/>
        <w:ind w:left="1272" w:right="0"/>
      </w:pPr>
      <w:r w:rsidRPr="002D0D20">
        <w:rPr>
          <w:sz w:val="22"/>
        </w:rPr>
        <w:t>F.</w:t>
      </w:r>
      <w:r w:rsidRPr="002D0D20">
        <w:rPr>
          <w:rFonts w:eastAsia="Arial"/>
          <w:sz w:val="22"/>
        </w:rPr>
        <w:t xml:space="preserve"> </w:t>
      </w:r>
      <w:r w:rsidRPr="002D0D20">
        <w:t xml:space="preserve">CALENDAR </w:t>
      </w:r>
    </w:p>
    <w:p w14:paraId="051FC39F" w14:textId="77777777" w:rsidR="006E4730" w:rsidRPr="002D0D20" w:rsidRDefault="00000000">
      <w:pPr>
        <w:spacing w:after="17" w:line="259" w:lineRule="auto"/>
        <w:ind w:left="0" w:firstLine="0"/>
      </w:pPr>
      <w:r w:rsidRPr="002D0D20">
        <w:rPr>
          <w:b/>
          <w:sz w:val="20"/>
        </w:rPr>
        <w:t xml:space="preserve"> </w:t>
      </w:r>
    </w:p>
    <w:p w14:paraId="2EA05AF1" w14:textId="77777777" w:rsidR="006E4730" w:rsidRPr="002D0D20" w:rsidRDefault="00000000">
      <w:pPr>
        <w:ind w:left="1287"/>
      </w:pPr>
      <w:r w:rsidRPr="002D0D20">
        <w:t xml:space="preserve">Upcoming MCCMC Legislative Committee Meetings: </w:t>
      </w:r>
    </w:p>
    <w:p w14:paraId="58CDA185" w14:textId="473ED2CD" w:rsidR="006E4730" w:rsidRPr="002D0D20" w:rsidRDefault="00000000">
      <w:pPr>
        <w:numPr>
          <w:ilvl w:val="0"/>
          <w:numId w:val="2"/>
        </w:numPr>
        <w:ind w:hanging="362"/>
      </w:pPr>
      <w:r w:rsidRPr="002D0D20">
        <w:t>March 2</w:t>
      </w:r>
      <w:r w:rsidR="002F2303" w:rsidRPr="002D0D20">
        <w:t>5</w:t>
      </w:r>
      <w:r w:rsidRPr="002D0D20">
        <w:t>, 202</w:t>
      </w:r>
      <w:r w:rsidR="002F2303" w:rsidRPr="002D0D20">
        <w:t>4</w:t>
      </w:r>
      <w:r w:rsidRPr="002D0D20">
        <w:t xml:space="preserve"> </w:t>
      </w:r>
    </w:p>
    <w:p w14:paraId="63BA6094" w14:textId="63AA6F1A" w:rsidR="006E4730" w:rsidRPr="002D0D20" w:rsidRDefault="00000000">
      <w:pPr>
        <w:numPr>
          <w:ilvl w:val="0"/>
          <w:numId w:val="2"/>
        </w:numPr>
        <w:ind w:hanging="362"/>
      </w:pPr>
      <w:r w:rsidRPr="002D0D20">
        <w:t>April 2</w:t>
      </w:r>
      <w:r w:rsidR="002F2303" w:rsidRPr="002D0D20">
        <w:t xml:space="preserve">2, </w:t>
      </w:r>
      <w:r w:rsidRPr="002D0D20">
        <w:t>202</w:t>
      </w:r>
      <w:r w:rsidR="002F2303" w:rsidRPr="002D0D20">
        <w:t>4</w:t>
      </w:r>
      <w:r w:rsidRPr="002D0D20">
        <w:t xml:space="preserve"> </w:t>
      </w:r>
    </w:p>
    <w:p w14:paraId="0017F1E0" w14:textId="77777777" w:rsidR="006E4730" w:rsidRPr="002D0D20" w:rsidRDefault="00000000">
      <w:pPr>
        <w:spacing w:after="19" w:line="259" w:lineRule="auto"/>
        <w:ind w:left="0" w:firstLine="0"/>
      </w:pPr>
      <w:r w:rsidRPr="002D0D20">
        <w:rPr>
          <w:sz w:val="20"/>
        </w:rPr>
        <w:t xml:space="preserve"> </w:t>
      </w:r>
    </w:p>
    <w:p w14:paraId="31A6C544" w14:textId="77777777" w:rsidR="006E4730" w:rsidRPr="002D0D20" w:rsidRDefault="00000000">
      <w:pPr>
        <w:pStyle w:val="Heading1"/>
        <w:ind w:left="1272" w:right="0"/>
      </w:pPr>
      <w:r w:rsidRPr="002D0D20">
        <w:rPr>
          <w:sz w:val="22"/>
        </w:rPr>
        <w:t>G.</w:t>
      </w:r>
      <w:r w:rsidRPr="002D0D20">
        <w:rPr>
          <w:rFonts w:eastAsia="Arial"/>
          <w:sz w:val="22"/>
        </w:rPr>
        <w:t xml:space="preserve"> </w:t>
      </w:r>
      <w:r w:rsidRPr="002D0D20">
        <w:t xml:space="preserve">ADJOURN </w:t>
      </w:r>
    </w:p>
    <w:p w14:paraId="08AF00A3" w14:textId="1C752FF5" w:rsidR="006E4730" w:rsidRPr="002D0D20" w:rsidRDefault="00000000">
      <w:pPr>
        <w:spacing w:after="13"/>
        <w:ind w:left="449" w:right="684"/>
      </w:pPr>
      <w:r w:rsidRPr="002D0D20">
        <w:br w:type="page"/>
      </w:r>
    </w:p>
    <w:p w14:paraId="3CB81753" w14:textId="54B64646" w:rsidR="006E4730" w:rsidRPr="002D0D20" w:rsidRDefault="00000000">
      <w:pPr>
        <w:pStyle w:val="Heading1"/>
        <w:spacing w:after="0"/>
        <w:ind w:left="0" w:right="0" w:firstLine="0"/>
      </w:pPr>
      <w:r w:rsidRPr="002D0D20">
        <w:rPr>
          <w:rFonts w:eastAsia="Calibri"/>
          <w:sz w:val="28"/>
        </w:rPr>
        <w:lastRenderedPageBreak/>
        <w:t>BILLS AND STATUS</w:t>
      </w:r>
      <w:r w:rsidR="00100A23" w:rsidRPr="002D0D20">
        <w:rPr>
          <w:rFonts w:eastAsia="Calibri"/>
          <w:sz w:val="28"/>
        </w:rPr>
        <w:t xml:space="preserve"> UPDATE</w:t>
      </w:r>
      <w:r w:rsidRPr="002D0D20">
        <w:rPr>
          <w:rFonts w:eastAsia="Calibri"/>
          <w:sz w:val="28"/>
        </w:rPr>
        <w:t xml:space="preserve"> </w:t>
      </w:r>
    </w:p>
    <w:p w14:paraId="00EFFDB7" w14:textId="522FCDB8" w:rsidR="006E4730" w:rsidRPr="002D0D20" w:rsidRDefault="00000000">
      <w:pPr>
        <w:spacing w:after="0" w:line="259" w:lineRule="auto"/>
        <w:ind w:left="0" w:firstLine="0"/>
      </w:pPr>
      <w:r w:rsidRPr="002D0D20">
        <w:rPr>
          <w:sz w:val="22"/>
        </w:rPr>
        <w:t xml:space="preserve"> </w:t>
      </w:r>
      <w:r w:rsidR="00E46C28" w:rsidRPr="002D0D20">
        <w:t xml:space="preserve">Cal Cities Position: </w:t>
      </w:r>
      <w:r w:rsidR="000F2A6B" w:rsidRPr="002D0D20">
        <w:t xml:space="preserve">(6) Bill to </w:t>
      </w:r>
      <w:r w:rsidR="00E46C28" w:rsidRPr="002D0D20">
        <w:t>Watch</w:t>
      </w:r>
      <w:r w:rsidRPr="002D0D20">
        <w:rPr>
          <w:sz w:val="22"/>
        </w:rPr>
        <w:t xml:space="preserve"> </w:t>
      </w:r>
    </w:p>
    <w:p w14:paraId="476B11E7" w14:textId="37ACC163" w:rsidR="000F2A6B" w:rsidRPr="000F2A6B" w:rsidRDefault="00000000" w:rsidP="000F2A6B">
      <w:pPr>
        <w:spacing w:after="0" w:line="259" w:lineRule="auto"/>
        <w:ind w:left="0" w:firstLine="0"/>
        <w:rPr>
          <w:rFonts w:eastAsia="Calibri"/>
          <w:b/>
          <w:sz w:val="28"/>
        </w:rPr>
      </w:pPr>
      <w:r w:rsidRPr="002D0D20">
        <w:rPr>
          <w:rFonts w:eastAsia="Calibri"/>
          <w:b/>
          <w:sz w:val="28"/>
        </w:rPr>
        <w:t xml:space="preserve"> </w:t>
      </w:r>
    </w:p>
    <w:p w14:paraId="0C16DB46" w14:textId="2B2B28C5" w:rsidR="009A3744" w:rsidRPr="00C01EB5" w:rsidRDefault="00AD45AC" w:rsidP="00C01EB5">
      <w:pPr>
        <w:spacing w:after="0" w:line="240" w:lineRule="auto"/>
        <w:ind w:left="360" w:firstLine="0"/>
        <w:rPr>
          <w:b/>
          <w:bCs/>
          <w:color w:val="auto"/>
          <w:kern w:val="0"/>
          <w:szCs w:val="24"/>
          <w14:ligatures w14:val="none"/>
        </w:rPr>
      </w:pPr>
      <w:r>
        <w:rPr>
          <w:b/>
          <w:bCs/>
          <w:color w:val="auto"/>
          <w:kern w:val="0"/>
          <w:szCs w:val="24"/>
          <w14:ligatures w14:val="none"/>
        </w:rPr>
        <w:t>1-</w:t>
      </w:r>
      <w:hyperlink r:id="rId10" w:tgtFrame="_blank" w:history="1">
        <w:r w:rsidR="000F2A6B" w:rsidRPr="00C01EB5">
          <w:rPr>
            <w:b/>
            <w:bCs/>
            <w:color w:val="auto"/>
            <w:kern w:val="0"/>
            <w:szCs w:val="24"/>
            <w:u w:val="single"/>
            <w14:ligatures w14:val="none"/>
          </w:rPr>
          <w:t>SB 937 (Wiener) Development projects: permits and other entitlements: fees and charges.</w:t>
        </w:r>
      </w:hyperlink>
      <w:r w:rsidR="000F2A6B" w:rsidRPr="00C01EB5">
        <w:rPr>
          <w:b/>
          <w:bCs/>
          <w:color w:val="auto"/>
          <w:kern w:val="0"/>
          <w:szCs w:val="24"/>
          <w14:ligatures w14:val="none"/>
        </w:rPr>
        <w:t>  </w:t>
      </w:r>
    </w:p>
    <w:p w14:paraId="68633AAD" w14:textId="6B81C510" w:rsidR="009A3744" w:rsidRPr="00C01EB5" w:rsidRDefault="00000000" w:rsidP="00C01EB5">
      <w:pPr>
        <w:spacing w:after="0" w:line="240" w:lineRule="auto"/>
        <w:ind w:left="360" w:firstLine="0"/>
        <w:rPr>
          <w:color w:val="auto"/>
          <w:kern w:val="0"/>
          <w:szCs w:val="24"/>
          <w14:ligatures w14:val="none"/>
        </w:rPr>
      </w:pPr>
      <w:hyperlink r:id="rId11" w:history="1">
        <w:r w:rsidR="009A3744" w:rsidRPr="00C01EB5">
          <w:rPr>
            <w:rStyle w:val="Hyperlink"/>
            <w:kern w:val="0"/>
            <w:szCs w:val="24"/>
            <w14:ligatures w14:val="none"/>
          </w:rPr>
          <w:t>https://leginfo.legislature.ca.gov/faces/billNavClient.xhtml?bill_id=202320240SB937</w:t>
        </w:r>
      </w:hyperlink>
    </w:p>
    <w:p w14:paraId="719A965E" w14:textId="744078B2" w:rsidR="000F2A6B" w:rsidRPr="00C01EB5" w:rsidRDefault="000F2A6B" w:rsidP="00C01EB5">
      <w:pPr>
        <w:spacing w:after="0" w:line="240" w:lineRule="auto"/>
        <w:ind w:left="360" w:firstLine="0"/>
        <w:rPr>
          <w:color w:val="auto"/>
          <w:kern w:val="0"/>
          <w:szCs w:val="24"/>
          <w14:ligatures w14:val="none"/>
        </w:rPr>
      </w:pPr>
      <w:r w:rsidRPr="00C01EB5">
        <w:rPr>
          <w:color w:val="auto"/>
          <w:kern w:val="0"/>
          <w:szCs w:val="24"/>
          <w14:ligatures w14:val="none"/>
        </w:rPr>
        <w:t>This bill would defer cities’ collection of development fees until the certificate of occupancy is issued on a housing project.  The bill would not allow a city to charge interest rates on any of the deferred fees.  Additionally, the bill would extend by 18 months a housing entitlement that was issued before January 1, 2024, and that will expire before December 31, 2025.  The goal of the bill is “to provide developers with flexibility to navigate challenging market conditions, while protecting a key source of revenue for local governments.”</w:t>
      </w:r>
    </w:p>
    <w:p w14:paraId="528790FA" w14:textId="7D274511" w:rsidR="000F2A6B" w:rsidRPr="000F2A6B" w:rsidRDefault="000F2A6B" w:rsidP="00C01EB5">
      <w:pPr>
        <w:spacing w:after="0" w:line="240" w:lineRule="auto"/>
        <w:ind w:left="60" w:firstLine="0"/>
        <w:rPr>
          <w:color w:val="auto"/>
          <w:kern w:val="0"/>
          <w:szCs w:val="24"/>
          <w14:ligatures w14:val="none"/>
        </w:rPr>
      </w:pPr>
    </w:p>
    <w:p w14:paraId="2F5F2EC0" w14:textId="5A4DB1C0" w:rsidR="009A3744" w:rsidRPr="00C01EB5" w:rsidRDefault="00AD45AC" w:rsidP="00C01EB5">
      <w:pPr>
        <w:spacing w:after="0" w:line="240" w:lineRule="auto"/>
        <w:ind w:left="360" w:firstLine="0"/>
        <w:rPr>
          <w:b/>
          <w:bCs/>
          <w:color w:val="auto"/>
          <w:kern w:val="0"/>
          <w:szCs w:val="24"/>
          <w14:ligatures w14:val="none"/>
        </w:rPr>
      </w:pPr>
      <w:r>
        <w:rPr>
          <w:b/>
          <w:bCs/>
          <w:color w:val="auto"/>
          <w:kern w:val="0"/>
          <w:szCs w:val="24"/>
          <w14:ligatures w14:val="none"/>
        </w:rPr>
        <w:t>2-</w:t>
      </w:r>
      <w:hyperlink r:id="rId12" w:tgtFrame="_blank" w:history="1">
        <w:r w:rsidR="000F2A6B" w:rsidRPr="00C01EB5">
          <w:rPr>
            <w:b/>
            <w:bCs/>
            <w:color w:val="auto"/>
            <w:kern w:val="0"/>
            <w:szCs w:val="24"/>
            <w:u w:val="single"/>
            <w14:ligatures w14:val="none"/>
          </w:rPr>
          <w:t>AB 1820 (Schiavo) Housing development projects: applications: fees and exactions</w:t>
        </w:r>
      </w:hyperlink>
    </w:p>
    <w:p w14:paraId="6AC05F39" w14:textId="275F9CBF" w:rsidR="009A3744" w:rsidRPr="00C01EB5" w:rsidRDefault="00000000" w:rsidP="00C01EB5">
      <w:pPr>
        <w:spacing w:after="0" w:line="240" w:lineRule="auto"/>
        <w:ind w:left="360" w:firstLine="0"/>
        <w:rPr>
          <w:color w:val="auto"/>
          <w:kern w:val="0"/>
          <w:szCs w:val="24"/>
          <w14:ligatures w14:val="none"/>
        </w:rPr>
      </w:pPr>
      <w:hyperlink r:id="rId13" w:history="1">
        <w:r w:rsidR="009A3744" w:rsidRPr="00C01EB5">
          <w:rPr>
            <w:rStyle w:val="Hyperlink"/>
            <w:kern w:val="0"/>
            <w:szCs w:val="24"/>
            <w14:ligatures w14:val="none"/>
          </w:rPr>
          <w:t>https://leginfo.legislature.ca.gov/faces/billNavClient.xhtml?bill_id=202320240AB1820</w:t>
        </w:r>
      </w:hyperlink>
    </w:p>
    <w:p w14:paraId="67EE85C3" w14:textId="77777777" w:rsidR="00C01EB5" w:rsidRPr="00C01EB5" w:rsidRDefault="009A3744" w:rsidP="00C01EB5">
      <w:pPr>
        <w:spacing w:after="0" w:line="240" w:lineRule="auto"/>
        <w:ind w:left="360" w:firstLine="0"/>
        <w:rPr>
          <w:color w:val="auto"/>
          <w:kern w:val="0"/>
          <w:szCs w:val="24"/>
          <w14:ligatures w14:val="none"/>
        </w:rPr>
      </w:pPr>
      <w:r w:rsidRPr="00C01EB5">
        <w:rPr>
          <w:color w:val="auto"/>
          <w:kern w:val="0"/>
          <w:szCs w:val="24"/>
          <w14:ligatures w14:val="none"/>
        </w:rPr>
        <w:t>This</w:t>
      </w:r>
      <w:r w:rsidR="000F2A6B" w:rsidRPr="00C01EB5">
        <w:rPr>
          <w:color w:val="auto"/>
          <w:kern w:val="0"/>
          <w:szCs w:val="24"/>
          <w14:ligatures w14:val="none"/>
        </w:rPr>
        <w:t> is a bill that would allow developers to request a fee and exaction statement estimate from their local jurisdiction at the time the preliminary application is submitted. The local jurisdiction would have 10 days to comply with the request unless the application is not complete.  </w:t>
      </w:r>
    </w:p>
    <w:p w14:paraId="2A9AA1F2" w14:textId="77777777" w:rsidR="00C01EB5" w:rsidRDefault="00C01EB5" w:rsidP="00C01EB5">
      <w:pPr>
        <w:spacing w:after="0" w:line="240" w:lineRule="auto"/>
        <w:ind w:left="360" w:firstLine="0"/>
        <w:rPr>
          <w:color w:val="auto"/>
          <w:kern w:val="0"/>
          <w:szCs w:val="24"/>
          <w14:ligatures w14:val="none"/>
        </w:rPr>
      </w:pPr>
    </w:p>
    <w:p w14:paraId="516500D1" w14:textId="78722F8F" w:rsidR="009A3744" w:rsidRPr="00C01EB5" w:rsidRDefault="00AD45AC" w:rsidP="00C01EB5">
      <w:pPr>
        <w:spacing w:after="0" w:line="240" w:lineRule="auto"/>
        <w:ind w:left="360" w:firstLine="0"/>
        <w:rPr>
          <w:color w:val="auto"/>
          <w:kern w:val="0"/>
          <w:szCs w:val="24"/>
          <w14:ligatures w14:val="none"/>
        </w:rPr>
      </w:pPr>
      <w:r>
        <w:rPr>
          <w:b/>
          <w:bCs/>
          <w:color w:val="auto"/>
          <w:kern w:val="0"/>
          <w:szCs w:val="24"/>
          <w14:ligatures w14:val="none"/>
        </w:rPr>
        <w:t>3-</w:t>
      </w:r>
      <w:hyperlink r:id="rId14" w:tgtFrame="_blank" w:history="1">
        <w:r w:rsidR="000F2A6B" w:rsidRPr="00C01EB5">
          <w:rPr>
            <w:b/>
            <w:bCs/>
            <w:color w:val="auto"/>
            <w:kern w:val="0"/>
            <w:szCs w:val="24"/>
            <w:u w:val="single"/>
            <w14:ligatures w14:val="none"/>
          </w:rPr>
          <w:t>SB 915 (Cortese) Local government: autonomous vehicles</w:t>
        </w:r>
      </w:hyperlink>
      <w:r w:rsidR="000F2A6B" w:rsidRPr="00C01EB5">
        <w:rPr>
          <w:b/>
          <w:bCs/>
          <w:color w:val="auto"/>
          <w:kern w:val="0"/>
          <w:szCs w:val="24"/>
          <w14:ligatures w14:val="none"/>
        </w:rPr>
        <w:t>.</w:t>
      </w:r>
      <w:r w:rsidR="000F2A6B" w:rsidRPr="00C01EB5">
        <w:rPr>
          <w:color w:val="auto"/>
          <w:kern w:val="0"/>
          <w:szCs w:val="24"/>
          <w14:ligatures w14:val="none"/>
        </w:rPr>
        <w:t> </w:t>
      </w:r>
    </w:p>
    <w:p w14:paraId="2496F79F" w14:textId="0700B8F9" w:rsidR="00C01EB5" w:rsidRDefault="00000000" w:rsidP="00C01EB5">
      <w:pPr>
        <w:spacing w:after="0" w:line="240" w:lineRule="auto"/>
        <w:ind w:left="0" w:firstLine="360"/>
        <w:rPr>
          <w:color w:val="auto"/>
          <w:kern w:val="0"/>
          <w:szCs w:val="24"/>
          <w14:ligatures w14:val="none"/>
        </w:rPr>
      </w:pPr>
      <w:hyperlink r:id="rId15" w:history="1">
        <w:r w:rsidR="00C01EB5" w:rsidRPr="00B70938">
          <w:rPr>
            <w:rStyle w:val="Hyperlink"/>
            <w:kern w:val="0"/>
            <w:szCs w:val="24"/>
            <w14:ligatures w14:val="none"/>
          </w:rPr>
          <w:t>https://leginfo.legislature.ca.gov/faces/billNavClient.xhtml?bill_id=202320240SB915</w:t>
        </w:r>
      </w:hyperlink>
    </w:p>
    <w:p w14:paraId="2BB37294" w14:textId="1C5E8144" w:rsidR="00C01EB5" w:rsidRDefault="00C01EB5" w:rsidP="00C01EB5">
      <w:pPr>
        <w:spacing w:after="0" w:line="240" w:lineRule="auto"/>
        <w:ind w:left="360" w:firstLine="0"/>
        <w:rPr>
          <w:color w:val="auto"/>
          <w:kern w:val="0"/>
          <w:szCs w:val="24"/>
          <w14:ligatures w14:val="none"/>
        </w:rPr>
      </w:pPr>
      <w:r w:rsidRPr="00C01EB5">
        <w:rPr>
          <w:color w:val="auto"/>
          <w:kern w:val="0"/>
          <w:szCs w:val="24"/>
          <w14:ligatures w14:val="none"/>
        </w:rPr>
        <w:t xml:space="preserve">This bill allows local governments to consider adequate safeguards that promote community safety, such as reasonable vehicle caps, data transparency rules, and interactions with emergency responders, as well as regulate maximum fare rates, ensure ADA accessibility, and perform annual inspections for health and safety.  The measure, co-sponsored by </w:t>
      </w:r>
      <w:proofErr w:type="spellStart"/>
      <w:r w:rsidRPr="00C01EB5">
        <w:rPr>
          <w:color w:val="auto"/>
          <w:kern w:val="0"/>
          <w:szCs w:val="24"/>
          <w14:ligatures w14:val="none"/>
        </w:rPr>
        <w:t>CalCities</w:t>
      </w:r>
      <w:proofErr w:type="spellEnd"/>
      <w:r w:rsidRPr="00C01EB5">
        <w:rPr>
          <w:color w:val="auto"/>
          <w:kern w:val="0"/>
          <w:szCs w:val="24"/>
          <w14:ligatures w14:val="none"/>
        </w:rPr>
        <w:t xml:space="preserve"> and backed by labor advocates and local government groups, is modeled after the existing statute that allows local governments to pass ordinances regulating taxicabs.</w:t>
      </w:r>
    </w:p>
    <w:p w14:paraId="124766FA" w14:textId="77777777" w:rsidR="000F2A6B" w:rsidRPr="000F2A6B" w:rsidRDefault="000F2A6B" w:rsidP="00C01EB5">
      <w:pPr>
        <w:spacing w:after="0" w:line="240" w:lineRule="auto"/>
        <w:ind w:left="0" w:firstLine="0"/>
        <w:rPr>
          <w:color w:val="auto"/>
          <w:kern w:val="0"/>
          <w:szCs w:val="24"/>
          <w14:ligatures w14:val="none"/>
        </w:rPr>
      </w:pPr>
    </w:p>
    <w:p w14:paraId="58465046" w14:textId="016810BF" w:rsidR="000F2A6B" w:rsidRPr="00C01EB5" w:rsidRDefault="00AD45AC" w:rsidP="00C01EB5">
      <w:pPr>
        <w:spacing w:after="0" w:line="240" w:lineRule="auto"/>
        <w:ind w:left="360" w:firstLine="0"/>
        <w:rPr>
          <w:b/>
          <w:bCs/>
          <w:color w:val="auto"/>
          <w:kern w:val="0"/>
          <w:szCs w:val="24"/>
          <w14:ligatures w14:val="none"/>
        </w:rPr>
      </w:pPr>
      <w:r>
        <w:rPr>
          <w:b/>
          <w:bCs/>
          <w:color w:val="auto"/>
          <w:kern w:val="0"/>
          <w:szCs w:val="24"/>
          <w14:ligatures w14:val="none"/>
        </w:rPr>
        <w:t>4-</w:t>
      </w:r>
      <w:hyperlink r:id="rId16" w:tgtFrame="_blank" w:history="1">
        <w:r w:rsidR="000F2A6B" w:rsidRPr="00C01EB5">
          <w:rPr>
            <w:b/>
            <w:bCs/>
            <w:color w:val="auto"/>
            <w:kern w:val="0"/>
            <w:szCs w:val="24"/>
            <w:u w:val="single"/>
            <w14:ligatures w14:val="none"/>
          </w:rPr>
          <w:t>AB 1886 (Alvarez) Housing Element Law: substantial compliance: Housing Accountability Act</w:t>
        </w:r>
      </w:hyperlink>
      <w:r w:rsidR="000F2A6B" w:rsidRPr="00C01EB5">
        <w:rPr>
          <w:b/>
          <w:bCs/>
          <w:color w:val="auto"/>
          <w:kern w:val="0"/>
          <w:szCs w:val="24"/>
          <w14:ligatures w14:val="none"/>
        </w:rPr>
        <w:t>. </w:t>
      </w:r>
    </w:p>
    <w:p w14:paraId="0FD89E57" w14:textId="76DE675A" w:rsidR="00C01EB5" w:rsidRDefault="00C01EB5" w:rsidP="00C01EB5">
      <w:pPr>
        <w:spacing w:after="0" w:line="240" w:lineRule="auto"/>
        <w:ind w:left="0" w:firstLine="0"/>
        <w:rPr>
          <w:color w:val="0070C0"/>
          <w:kern w:val="0"/>
          <w:szCs w:val="24"/>
          <w14:ligatures w14:val="none"/>
        </w:rPr>
      </w:pPr>
      <w:r>
        <w:rPr>
          <w:color w:val="0070C0"/>
          <w:kern w:val="0"/>
          <w:szCs w:val="24"/>
          <w14:ligatures w14:val="none"/>
        </w:rPr>
        <w:t xml:space="preserve">      </w:t>
      </w:r>
      <w:hyperlink r:id="rId17" w:history="1">
        <w:r w:rsidRPr="00B70938">
          <w:rPr>
            <w:rStyle w:val="Hyperlink"/>
            <w:kern w:val="0"/>
            <w:szCs w:val="24"/>
            <w14:ligatures w14:val="none"/>
          </w:rPr>
          <w:t>https://leginfo.legislature.ca.gov/faces/billTextClient.xhtml?bill_id=202320240AB1886</w:t>
        </w:r>
      </w:hyperlink>
    </w:p>
    <w:p w14:paraId="240F7395" w14:textId="64812ED2" w:rsidR="00C01EB5" w:rsidRPr="00C01EB5" w:rsidRDefault="00C01EB5" w:rsidP="00C01EB5">
      <w:pPr>
        <w:spacing w:after="0" w:line="240" w:lineRule="auto"/>
        <w:ind w:left="360" w:firstLine="0"/>
        <w:rPr>
          <w:color w:val="auto"/>
          <w:kern w:val="0"/>
          <w:szCs w:val="24"/>
          <w14:ligatures w14:val="none"/>
        </w:rPr>
      </w:pPr>
      <w:r w:rsidRPr="00C01EB5">
        <w:rPr>
          <w:color w:val="auto"/>
          <w:kern w:val="0"/>
          <w:szCs w:val="24"/>
          <w14:ligatures w14:val="none"/>
        </w:rPr>
        <w:t xml:space="preserve">This measure is one of </w:t>
      </w:r>
      <w:proofErr w:type="gramStart"/>
      <w:r w:rsidRPr="00C01EB5">
        <w:rPr>
          <w:color w:val="auto"/>
          <w:kern w:val="0"/>
          <w:szCs w:val="24"/>
          <w14:ligatures w14:val="none"/>
        </w:rPr>
        <w:t>a number of</w:t>
      </w:r>
      <w:proofErr w:type="gramEnd"/>
      <w:r w:rsidRPr="00C01EB5">
        <w:rPr>
          <w:color w:val="auto"/>
          <w:kern w:val="0"/>
          <w:szCs w:val="24"/>
          <w14:ligatures w14:val="none"/>
        </w:rPr>
        <w:t xml:space="preserve"> bills pushing for the use of “builders’ remedy” to increase affordable housing.  The bill would clarify when a housing element </w:t>
      </w:r>
      <w:proofErr w:type="gramStart"/>
      <w:r w:rsidRPr="00C01EB5">
        <w:rPr>
          <w:color w:val="auto"/>
          <w:kern w:val="0"/>
          <w:szCs w:val="24"/>
          <w14:ligatures w14:val="none"/>
        </w:rPr>
        <w:t>is considered to be</w:t>
      </w:r>
      <w:proofErr w:type="gramEnd"/>
      <w:r w:rsidRPr="00C01EB5">
        <w:rPr>
          <w:color w:val="auto"/>
          <w:kern w:val="0"/>
          <w:szCs w:val="24"/>
          <w14:ligatures w14:val="none"/>
        </w:rPr>
        <w:t xml:space="preserve"> in substantial compliance with state law by specifying that if a city or county fails to comply with state housing law, as determined by HCD, a builder’s remedy project can be accelerated with limited restrictions.</w:t>
      </w:r>
    </w:p>
    <w:p w14:paraId="513F398F" w14:textId="569F3C20" w:rsidR="000F2A6B" w:rsidRPr="000F2A6B" w:rsidRDefault="000F2A6B" w:rsidP="00C01EB5">
      <w:pPr>
        <w:spacing w:after="0" w:line="240" w:lineRule="auto"/>
        <w:ind w:left="60" w:firstLine="0"/>
        <w:rPr>
          <w:color w:val="auto"/>
          <w:kern w:val="0"/>
          <w:szCs w:val="24"/>
          <w14:ligatures w14:val="none"/>
        </w:rPr>
      </w:pPr>
    </w:p>
    <w:p w14:paraId="018FF5F9" w14:textId="7BCCD3D7" w:rsidR="000F2A6B" w:rsidRPr="00C01EB5" w:rsidRDefault="00AD45AC" w:rsidP="00C01EB5">
      <w:pPr>
        <w:spacing w:after="0" w:line="240" w:lineRule="auto"/>
        <w:ind w:left="360" w:firstLine="0"/>
        <w:rPr>
          <w:b/>
          <w:bCs/>
          <w:color w:val="auto"/>
          <w:kern w:val="0"/>
          <w:szCs w:val="24"/>
          <w14:ligatures w14:val="none"/>
        </w:rPr>
      </w:pPr>
      <w:r>
        <w:rPr>
          <w:b/>
          <w:bCs/>
          <w:color w:val="auto"/>
          <w:kern w:val="0"/>
          <w:szCs w:val="24"/>
          <w14:ligatures w14:val="none"/>
        </w:rPr>
        <w:t>5-</w:t>
      </w:r>
      <w:hyperlink r:id="rId18" w:tgtFrame="_blank" w:history="1">
        <w:r w:rsidR="000F2A6B" w:rsidRPr="00C01EB5">
          <w:rPr>
            <w:b/>
            <w:bCs/>
            <w:color w:val="auto"/>
            <w:kern w:val="0"/>
            <w:szCs w:val="24"/>
            <w:u w:val="single"/>
            <w14:ligatures w14:val="none"/>
          </w:rPr>
          <w:t>SB 1164 (Newman) Property taxation: new construction exclusion: accessory dwelling units. </w:t>
        </w:r>
      </w:hyperlink>
      <w:r w:rsidR="000F2A6B" w:rsidRPr="00C01EB5">
        <w:rPr>
          <w:b/>
          <w:bCs/>
          <w:color w:val="auto"/>
          <w:kern w:val="0"/>
          <w:szCs w:val="24"/>
          <w14:ligatures w14:val="none"/>
        </w:rPr>
        <w:t> </w:t>
      </w:r>
    </w:p>
    <w:p w14:paraId="1F69DD35" w14:textId="7731782B" w:rsidR="00C01EB5" w:rsidRDefault="00C01EB5" w:rsidP="00C01EB5">
      <w:pPr>
        <w:spacing w:after="0" w:line="240" w:lineRule="auto"/>
        <w:ind w:left="0" w:firstLine="0"/>
        <w:rPr>
          <w:color w:val="auto"/>
          <w:kern w:val="0"/>
          <w:szCs w:val="24"/>
          <w14:ligatures w14:val="none"/>
        </w:rPr>
      </w:pPr>
      <w:r>
        <w:rPr>
          <w:color w:val="auto"/>
          <w:kern w:val="0"/>
          <w:szCs w:val="24"/>
          <w14:ligatures w14:val="none"/>
        </w:rPr>
        <w:t xml:space="preserve">      </w:t>
      </w:r>
      <w:hyperlink r:id="rId19" w:history="1">
        <w:r w:rsidRPr="00B70938">
          <w:rPr>
            <w:rStyle w:val="Hyperlink"/>
            <w:kern w:val="0"/>
            <w:szCs w:val="24"/>
            <w14:ligatures w14:val="none"/>
          </w:rPr>
          <w:t>https://leginfo.legislature.ca.gov/faces/billNavClient.xhtml?bill_id=202320240SB1164</w:t>
        </w:r>
      </w:hyperlink>
    </w:p>
    <w:p w14:paraId="55018F01" w14:textId="40AB8E02" w:rsidR="00C01EB5" w:rsidRPr="00C01EB5" w:rsidRDefault="00C01EB5" w:rsidP="00C01EB5">
      <w:pPr>
        <w:spacing w:after="0" w:line="240" w:lineRule="auto"/>
        <w:ind w:left="360" w:firstLine="0"/>
        <w:rPr>
          <w:color w:val="auto"/>
          <w:kern w:val="0"/>
          <w:szCs w:val="24"/>
          <w14:ligatures w14:val="none"/>
        </w:rPr>
      </w:pPr>
      <w:r w:rsidRPr="00C01EB5">
        <w:rPr>
          <w:color w:val="auto"/>
          <w:kern w:val="0"/>
          <w:szCs w:val="24"/>
          <w14:ligatures w14:val="none"/>
        </w:rPr>
        <w:t>This bill attempts to accelerate the construction of ADU’s by allowing property owners to claim an exemption from property tax reassessment for ADU construction until 15 years have passed or when the property changes hands, effectively stopping any property tax increase based on the assessed value of the ADU addition.</w:t>
      </w:r>
    </w:p>
    <w:p w14:paraId="4F08E9B1" w14:textId="77777777" w:rsidR="00C01EB5" w:rsidRDefault="00C01EB5" w:rsidP="00C01EB5">
      <w:pPr>
        <w:spacing w:after="0" w:line="240" w:lineRule="auto"/>
        <w:ind w:left="720" w:firstLine="0"/>
        <w:rPr>
          <w:color w:val="auto"/>
          <w:kern w:val="0"/>
          <w:szCs w:val="24"/>
          <w14:ligatures w14:val="none"/>
        </w:rPr>
      </w:pPr>
    </w:p>
    <w:p w14:paraId="01D88499" w14:textId="08F760C7" w:rsidR="000F2A6B" w:rsidRPr="00C01EB5" w:rsidRDefault="00AD45AC" w:rsidP="00C01EB5">
      <w:pPr>
        <w:spacing w:after="0" w:line="240" w:lineRule="auto"/>
        <w:ind w:left="360" w:firstLine="0"/>
        <w:rPr>
          <w:color w:val="auto"/>
          <w:kern w:val="0"/>
          <w:szCs w:val="24"/>
          <w14:ligatures w14:val="none"/>
        </w:rPr>
      </w:pPr>
      <w:r>
        <w:rPr>
          <w:b/>
          <w:bCs/>
          <w:color w:val="auto"/>
          <w:kern w:val="0"/>
          <w:szCs w:val="24"/>
          <w14:ligatures w14:val="none"/>
        </w:rPr>
        <w:t>6-</w:t>
      </w:r>
      <w:hyperlink r:id="rId20" w:tgtFrame="_blank" w:history="1">
        <w:r w:rsidR="000F2A6B" w:rsidRPr="00C01EB5">
          <w:rPr>
            <w:b/>
            <w:bCs/>
            <w:color w:val="auto"/>
            <w:kern w:val="0"/>
            <w:szCs w:val="24"/>
            <w:u w:val="single"/>
            <w14:ligatures w14:val="none"/>
          </w:rPr>
          <w:t>SB 1116 (Portantino) Unemployment insurance: trade disputes: eligibility for benefits</w:t>
        </w:r>
      </w:hyperlink>
      <w:r w:rsidR="000F2A6B" w:rsidRPr="00C01EB5">
        <w:rPr>
          <w:b/>
          <w:bCs/>
          <w:color w:val="auto"/>
          <w:kern w:val="0"/>
          <w:szCs w:val="24"/>
          <w14:ligatures w14:val="none"/>
        </w:rPr>
        <w:t>.</w:t>
      </w:r>
    </w:p>
    <w:p w14:paraId="65D1634C" w14:textId="3ABAC4C2" w:rsidR="00AD45AC" w:rsidRPr="00AD45AC" w:rsidRDefault="00C01EB5" w:rsidP="00AD45AC">
      <w:pPr>
        <w:spacing w:after="0" w:line="240" w:lineRule="auto"/>
        <w:ind w:left="0" w:firstLine="0"/>
        <w:rPr>
          <w:color w:val="auto"/>
          <w:kern w:val="0"/>
          <w:szCs w:val="24"/>
          <w14:ligatures w14:val="none"/>
        </w:rPr>
      </w:pPr>
      <w:r>
        <w:rPr>
          <w:color w:val="auto"/>
          <w:kern w:val="0"/>
          <w:szCs w:val="24"/>
          <w14:ligatures w14:val="none"/>
        </w:rPr>
        <w:t xml:space="preserve">      </w:t>
      </w:r>
      <w:hyperlink r:id="rId21" w:history="1">
        <w:r w:rsidRPr="00B70938">
          <w:rPr>
            <w:rStyle w:val="Hyperlink"/>
            <w:kern w:val="0"/>
            <w:szCs w:val="24"/>
            <w14:ligatures w14:val="none"/>
          </w:rPr>
          <w:t>https://leginfo.legislature.ca.gov/faces/billNavClient.xhtml?bill_id=202320240SB1116</w:t>
        </w:r>
      </w:hyperlink>
      <w:r w:rsidR="00AD45AC">
        <w:rPr>
          <w:color w:val="auto"/>
          <w:kern w:val="0"/>
          <w:szCs w:val="24"/>
          <w14:ligatures w14:val="none"/>
        </w:rPr>
        <w:t xml:space="preserve"> </w:t>
      </w:r>
      <w:r w:rsidR="00AD45AC" w:rsidRPr="00AD45AC">
        <w:rPr>
          <w:color w:val="auto"/>
          <w:kern w:val="0"/>
          <w:szCs w:val="24"/>
          <w14:ligatures w14:val="none"/>
        </w:rPr>
        <w:t xml:space="preserve">This bill, a </w:t>
      </w:r>
      <w:r w:rsidR="00A87391">
        <w:rPr>
          <w:color w:val="auto"/>
          <w:kern w:val="0"/>
          <w:szCs w:val="24"/>
          <w14:ligatures w14:val="none"/>
        </w:rPr>
        <w:t xml:space="preserve">     </w:t>
      </w:r>
      <w:r w:rsidR="00AD45AC" w:rsidRPr="00AD45AC">
        <w:rPr>
          <w:color w:val="auto"/>
          <w:kern w:val="0"/>
          <w:szCs w:val="24"/>
          <w14:ligatures w14:val="none"/>
        </w:rPr>
        <w:t xml:space="preserve">substantially similar re-run of SB 799 (Portantino) Unemployment insurance: trade disputes: eligibility for benefits from 2023 that would allow striking workers, after two weeks, to be eligible for unemployment benefits.  The bill was vetoed by the Governor last year who noted that the bill would be “too costly given the state’s already debt-ridden unemployment insurance fund that is struggling to fulfill its existing responsibilities despite owing the federal government $18.5 billion.”  </w:t>
      </w:r>
    </w:p>
    <w:p w14:paraId="2CDB50B3" w14:textId="77777777" w:rsidR="00AD45AC" w:rsidRPr="00AD45AC" w:rsidRDefault="00AD45AC" w:rsidP="00AD45AC">
      <w:pPr>
        <w:spacing w:after="0" w:line="240" w:lineRule="auto"/>
        <w:ind w:left="0" w:firstLine="0"/>
        <w:rPr>
          <w:color w:val="auto"/>
          <w:kern w:val="0"/>
          <w:szCs w:val="24"/>
          <w14:ligatures w14:val="none"/>
        </w:rPr>
      </w:pPr>
    </w:p>
    <w:p w14:paraId="49C0C675" w14:textId="74B3A0B1" w:rsidR="00C01EB5" w:rsidRDefault="00C01EB5" w:rsidP="00C01EB5">
      <w:pPr>
        <w:spacing w:after="0" w:line="240" w:lineRule="auto"/>
        <w:ind w:left="0" w:firstLine="0"/>
        <w:rPr>
          <w:color w:val="auto"/>
          <w:kern w:val="0"/>
          <w:szCs w:val="24"/>
          <w14:ligatures w14:val="none"/>
        </w:rPr>
      </w:pPr>
    </w:p>
    <w:sectPr w:rsidR="00C01EB5">
      <w:headerReference w:type="even" r:id="rId22"/>
      <w:headerReference w:type="default" r:id="rId23"/>
      <w:footerReference w:type="even" r:id="rId24"/>
      <w:footerReference w:type="default" r:id="rId25"/>
      <w:headerReference w:type="first" r:id="rId26"/>
      <w:footerReference w:type="first" r:id="rId27"/>
      <w:pgSz w:w="12240" w:h="15840"/>
      <w:pgMar w:top="720" w:right="1216" w:bottom="1491" w:left="881" w:header="720" w:footer="83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A8341" w14:textId="77777777" w:rsidR="00247431" w:rsidRDefault="00247431">
      <w:pPr>
        <w:spacing w:after="0" w:line="240" w:lineRule="auto"/>
      </w:pPr>
      <w:r>
        <w:separator/>
      </w:r>
    </w:p>
  </w:endnote>
  <w:endnote w:type="continuationSeparator" w:id="0">
    <w:p w14:paraId="3FE193B7" w14:textId="77777777" w:rsidR="00247431" w:rsidRDefault="0024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7D6A" w14:textId="77777777" w:rsidR="006E4730" w:rsidRDefault="00000000">
    <w:pPr>
      <w:spacing w:after="0" w:line="259" w:lineRule="auto"/>
      <w:ind w:left="0" w:right="2" w:firstLine="0"/>
      <w:jc w:val="center"/>
    </w:pPr>
    <w:r>
      <w:rPr>
        <w:b/>
        <w:color w:val="855A55"/>
        <w:sz w:val="22"/>
      </w:rPr>
      <w:t xml:space="preserve">MARIN COUNTY COUNCIL OF MAYORS &amp; COUNCILMEMBERS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80DF9" w14:textId="77777777" w:rsidR="006E4730" w:rsidRDefault="00000000">
    <w:pPr>
      <w:spacing w:after="0" w:line="259" w:lineRule="auto"/>
      <w:ind w:left="0" w:right="2" w:firstLine="0"/>
      <w:jc w:val="center"/>
    </w:pPr>
    <w:r>
      <w:rPr>
        <w:b/>
        <w:color w:val="855A55"/>
        <w:sz w:val="22"/>
      </w:rPr>
      <w:t xml:space="preserve">MARIN COUNTY COUNCIL OF MAYORS &amp; COUNCILMEMBERS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B2EDE" w14:textId="77777777" w:rsidR="006E4730" w:rsidRDefault="00000000">
    <w:pPr>
      <w:spacing w:after="0" w:line="259" w:lineRule="auto"/>
      <w:ind w:left="0" w:right="2" w:firstLine="0"/>
      <w:jc w:val="center"/>
    </w:pPr>
    <w:r>
      <w:rPr>
        <w:b/>
        <w:color w:val="855A55"/>
        <w:sz w:val="22"/>
      </w:rPr>
      <w:t xml:space="preserve">MARIN COUNTY COUNCIL OF MAYORS &amp; COUNCILMEMBERS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496A3" w14:textId="77777777" w:rsidR="00247431" w:rsidRDefault="00247431">
      <w:pPr>
        <w:spacing w:after="0" w:line="240" w:lineRule="auto"/>
      </w:pPr>
      <w:r>
        <w:separator/>
      </w:r>
    </w:p>
  </w:footnote>
  <w:footnote w:type="continuationSeparator" w:id="0">
    <w:p w14:paraId="0B947CCC" w14:textId="77777777" w:rsidR="00247431" w:rsidRDefault="00247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9876A" w14:textId="77777777" w:rsidR="006E4730" w:rsidRDefault="00000000">
    <w:pPr>
      <w:spacing w:after="0" w:line="259" w:lineRule="auto"/>
      <w:ind w:left="0" w:right="-676" w:firstLine="0"/>
    </w:pPr>
    <w:r>
      <w:rPr>
        <w:noProof/>
      </w:rPr>
      <w:drawing>
        <wp:anchor distT="0" distB="0" distL="114300" distR="114300" simplePos="0" relativeHeight="251658240" behindDoc="0" locked="0" layoutInCell="1" allowOverlap="0" wp14:anchorId="3E2B9839" wp14:editId="297BA4CA">
          <wp:simplePos x="0" y="0"/>
          <wp:positionH relativeFrom="page">
            <wp:posOffset>6461125</wp:posOffset>
          </wp:positionH>
          <wp:positionV relativeFrom="page">
            <wp:posOffset>287022</wp:posOffset>
          </wp:positionV>
          <wp:extent cx="968375" cy="982345"/>
          <wp:effectExtent l="0" t="0" r="0" b="0"/>
          <wp:wrapSquare wrapText="bothSides"/>
          <wp:docPr id="99" name="Picture 99"/>
          <wp:cNvGraphicFramePr/>
          <a:graphic xmlns:a="http://schemas.openxmlformats.org/drawingml/2006/main">
            <a:graphicData uri="http://schemas.openxmlformats.org/drawingml/2006/picture">
              <pic:pic xmlns:pic="http://schemas.openxmlformats.org/drawingml/2006/picture">
                <pic:nvPicPr>
                  <pic:cNvPr id="99" name="Picture 99"/>
                  <pic:cNvPicPr/>
                </pic:nvPicPr>
                <pic:blipFill>
                  <a:blip r:embed="rId1"/>
                  <a:stretch>
                    <a:fillRect/>
                  </a:stretch>
                </pic:blipFill>
                <pic:spPr>
                  <a:xfrm>
                    <a:off x="0" y="0"/>
                    <a:ext cx="968375" cy="982345"/>
                  </a:xfrm>
                  <a:prstGeom prst="rect">
                    <a:avLst/>
                  </a:prstGeom>
                </pic:spPr>
              </pic:pic>
            </a:graphicData>
          </a:graphic>
        </wp:anchor>
      </w:drawing>
    </w:r>
    <w:r>
      <w:rPr>
        <w:sz w:val="22"/>
      </w:rPr>
      <w:t xml:space="preserve"> </w:t>
    </w:r>
    <w:r>
      <w:rPr>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7A180" w14:textId="77777777" w:rsidR="006E4730" w:rsidRDefault="00000000">
    <w:pPr>
      <w:spacing w:after="0" w:line="259" w:lineRule="auto"/>
      <w:ind w:left="0" w:right="-676" w:firstLine="0"/>
    </w:pPr>
    <w:r>
      <w:rPr>
        <w:noProof/>
      </w:rPr>
      <w:drawing>
        <wp:anchor distT="0" distB="0" distL="114300" distR="114300" simplePos="0" relativeHeight="251659264" behindDoc="0" locked="0" layoutInCell="1" allowOverlap="0" wp14:anchorId="076DAA4F" wp14:editId="152B52C6">
          <wp:simplePos x="0" y="0"/>
          <wp:positionH relativeFrom="page">
            <wp:posOffset>6461125</wp:posOffset>
          </wp:positionH>
          <wp:positionV relativeFrom="page">
            <wp:posOffset>287022</wp:posOffset>
          </wp:positionV>
          <wp:extent cx="968375" cy="982345"/>
          <wp:effectExtent l="0" t="0" r="0" b="0"/>
          <wp:wrapSquare wrapText="bothSides"/>
          <wp:docPr id="405466058" name="Picture 405466058"/>
          <wp:cNvGraphicFramePr/>
          <a:graphic xmlns:a="http://schemas.openxmlformats.org/drawingml/2006/main">
            <a:graphicData uri="http://schemas.openxmlformats.org/drawingml/2006/picture">
              <pic:pic xmlns:pic="http://schemas.openxmlformats.org/drawingml/2006/picture">
                <pic:nvPicPr>
                  <pic:cNvPr id="99" name="Picture 99"/>
                  <pic:cNvPicPr/>
                </pic:nvPicPr>
                <pic:blipFill>
                  <a:blip r:embed="rId1"/>
                  <a:stretch>
                    <a:fillRect/>
                  </a:stretch>
                </pic:blipFill>
                <pic:spPr>
                  <a:xfrm>
                    <a:off x="0" y="0"/>
                    <a:ext cx="968375" cy="982345"/>
                  </a:xfrm>
                  <a:prstGeom prst="rect">
                    <a:avLst/>
                  </a:prstGeom>
                </pic:spPr>
              </pic:pic>
            </a:graphicData>
          </a:graphic>
        </wp:anchor>
      </w:drawing>
    </w:r>
    <w:r>
      <w:rPr>
        <w:sz w:val="22"/>
      </w:rPr>
      <w:t xml:space="preserve"> </w:t>
    </w:r>
    <w:r>
      <w:rPr>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7A91F" w14:textId="77777777" w:rsidR="006E4730" w:rsidRDefault="006E4730">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33EBA"/>
    <w:multiLevelType w:val="hybridMultilevel"/>
    <w:tmpl w:val="2FAAE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E92285"/>
    <w:multiLevelType w:val="hybridMultilevel"/>
    <w:tmpl w:val="262AA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B21D11"/>
    <w:multiLevelType w:val="hybridMultilevel"/>
    <w:tmpl w:val="988CC5D6"/>
    <w:lvl w:ilvl="0" w:tplc="427E49CA">
      <w:start w:val="1"/>
      <w:numFmt w:val="bullet"/>
      <w:lvlText w:val="•"/>
      <w:lvlJc w:val="left"/>
      <w:pPr>
        <w:ind w:left="2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ECB82E">
      <w:start w:val="1"/>
      <w:numFmt w:val="bullet"/>
      <w:lvlText w:val="o"/>
      <w:lvlJc w:val="left"/>
      <w:pPr>
        <w:ind w:left="30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06D476">
      <w:start w:val="1"/>
      <w:numFmt w:val="bullet"/>
      <w:lvlText w:val="▪"/>
      <w:lvlJc w:val="left"/>
      <w:pPr>
        <w:ind w:left="37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C6AC38">
      <w:start w:val="1"/>
      <w:numFmt w:val="bullet"/>
      <w:lvlText w:val="•"/>
      <w:lvlJc w:val="left"/>
      <w:pPr>
        <w:ind w:left="4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42D5F0">
      <w:start w:val="1"/>
      <w:numFmt w:val="bullet"/>
      <w:lvlText w:val="o"/>
      <w:lvlJc w:val="left"/>
      <w:pPr>
        <w:ind w:left="5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E84ABE">
      <w:start w:val="1"/>
      <w:numFmt w:val="bullet"/>
      <w:lvlText w:val="▪"/>
      <w:lvlJc w:val="left"/>
      <w:pPr>
        <w:ind w:left="59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326D84">
      <w:start w:val="1"/>
      <w:numFmt w:val="bullet"/>
      <w:lvlText w:val="•"/>
      <w:lvlJc w:val="left"/>
      <w:pPr>
        <w:ind w:left="6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C88F0E">
      <w:start w:val="1"/>
      <w:numFmt w:val="bullet"/>
      <w:lvlText w:val="o"/>
      <w:lvlJc w:val="left"/>
      <w:pPr>
        <w:ind w:left="7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54C8A8">
      <w:start w:val="1"/>
      <w:numFmt w:val="bullet"/>
      <w:lvlText w:val="▪"/>
      <w:lvlJc w:val="left"/>
      <w:pPr>
        <w:ind w:left="81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3E50188"/>
    <w:multiLevelType w:val="hybridMultilevel"/>
    <w:tmpl w:val="E6BAF67C"/>
    <w:lvl w:ilvl="0" w:tplc="A1E43584">
      <w:start w:val="1"/>
      <w:numFmt w:val="bullet"/>
      <w:lvlText w:val="o"/>
      <w:lvlJc w:val="left"/>
      <w:pPr>
        <w:ind w:left="271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5C9A1AE6">
      <w:start w:val="1"/>
      <w:numFmt w:val="bullet"/>
      <w:lvlText w:val="o"/>
      <w:lvlJc w:val="left"/>
      <w:pPr>
        <w:ind w:left="343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9905416">
      <w:start w:val="1"/>
      <w:numFmt w:val="bullet"/>
      <w:lvlText w:val="▪"/>
      <w:lvlJc w:val="left"/>
      <w:pPr>
        <w:ind w:left="415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41E493C">
      <w:start w:val="1"/>
      <w:numFmt w:val="bullet"/>
      <w:lvlText w:val="•"/>
      <w:lvlJc w:val="left"/>
      <w:pPr>
        <w:ind w:left="487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A96537A">
      <w:start w:val="1"/>
      <w:numFmt w:val="bullet"/>
      <w:lvlText w:val="o"/>
      <w:lvlJc w:val="left"/>
      <w:pPr>
        <w:ind w:left="559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ECE024E">
      <w:start w:val="1"/>
      <w:numFmt w:val="bullet"/>
      <w:lvlText w:val="▪"/>
      <w:lvlJc w:val="left"/>
      <w:pPr>
        <w:ind w:left="631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292DE0A">
      <w:start w:val="1"/>
      <w:numFmt w:val="bullet"/>
      <w:lvlText w:val="•"/>
      <w:lvlJc w:val="left"/>
      <w:pPr>
        <w:ind w:left="703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5CCA016">
      <w:start w:val="1"/>
      <w:numFmt w:val="bullet"/>
      <w:lvlText w:val="o"/>
      <w:lvlJc w:val="left"/>
      <w:pPr>
        <w:ind w:left="775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780B4F8">
      <w:start w:val="1"/>
      <w:numFmt w:val="bullet"/>
      <w:lvlText w:val="▪"/>
      <w:lvlJc w:val="left"/>
      <w:pPr>
        <w:ind w:left="847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DBD4927"/>
    <w:multiLevelType w:val="hybridMultilevel"/>
    <w:tmpl w:val="249016E4"/>
    <w:lvl w:ilvl="0" w:tplc="04090001">
      <w:start w:val="1"/>
      <w:numFmt w:val="bullet"/>
      <w:lvlText w:val=""/>
      <w:lvlJc w:val="left"/>
      <w:pPr>
        <w:ind w:left="1632" w:hanging="360"/>
      </w:pPr>
      <w:rPr>
        <w:rFonts w:ascii="Symbol" w:hAnsi="Symbol" w:hint="default"/>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5" w15:restartNumberingAfterBreak="0">
    <w:nsid w:val="74523D00"/>
    <w:multiLevelType w:val="hybridMultilevel"/>
    <w:tmpl w:val="2A72A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7347848">
    <w:abstractNumId w:val="3"/>
  </w:num>
  <w:num w:numId="2" w16cid:durableId="1914313423">
    <w:abstractNumId w:val="2"/>
  </w:num>
  <w:num w:numId="3" w16cid:durableId="38822053">
    <w:abstractNumId w:val="4"/>
  </w:num>
  <w:num w:numId="4" w16cid:durableId="1900093604">
    <w:abstractNumId w:val="1"/>
  </w:num>
  <w:num w:numId="5" w16cid:durableId="1194882483">
    <w:abstractNumId w:val="5"/>
  </w:num>
  <w:num w:numId="6" w16cid:durableId="421533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730"/>
    <w:rsid w:val="000F2A6B"/>
    <w:rsid w:val="00100A23"/>
    <w:rsid w:val="00247431"/>
    <w:rsid w:val="002D0D20"/>
    <w:rsid w:val="002F2303"/>
    <w:rsid w:val="004260D6"/>
    <w:rsid w:val="005C3AC1"/>
    <w:rsid w:val="006168A2"/>
    <w:rsid w:val="006E4730"/>
    <w:rsid w:val="009A3744"/>
    <w:rsid w:val="00A87391"/>
    <w:rsid w:val="00AD45AC"/>
    <w:rsid w:val="00C01EB5"/>
    <w:rsid w:val="00E46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B7253"/>
  <w15:docId w15:val="{793E2C25-81F7-4ADC-982B-74ED00CB8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647"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4"/>
      <w:ind w:left="10" w:right="61"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2"/>
      <w:ind w:left="2890" w:hanging="10"/>
      <w:jc w:val="center"/>
      <w:outlineLvl w:val="1"/>
    </w:pPr>
    <w:rPr>
      <w:rFonts w:ascii="Times New Roman" w:eastAsia="Times New Roman" w:hAnsi="Times New Roman" w:cs="Times New Roman"/>
      <w:i/>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i/>
      <w:color w:val="000000"/>
      <w:sz w:val="24"/>
    </w:rPr>
  </w:style>
  <w:style w:type="paragraph" w:styleId="ListParagraph">
    <w:name w:val="List Paragraph"/>
    <w:basedOn w:val="Normal"/>
    <w:uiPriority w:val="34"/>
    <w:qFormat/>
    <w:rsid w:val="002F2303"/>
    <w:pPr>
      <w:ind w:left="720"/>
      <w:contextualSpacing/>
    </w:pPr>
  </w:style>
  <w:style w:type="character" w:styleId="Hyperlink">
    <w:name w:val="Hyperlink"/>
    <w:basedOn w:val="DefaultParagraphFont"/>
    <w:uiPriority w:val="99"/>
    <w:unhideWhenUsed/>
    <w:rsid w:val="000F2A6B"/>
    <w:rPr>
      <w:color w:val="0000FF"/>
      <w:u w:val="single"/>
    </w:rPr>
  </w:style>
  <w:style w:type="character" w:styleId="CommentReference">
    <w:name w:val="annotation reference"/>
    <w:basedOn w:val="DefaultParagraphFont"/>
    <w:uiPriority w:val="99"/>
    <w:semiHidden/>
    <w:unhideWhenUsed/>
    <w:rsid w:val="002D0D20"/>
    <w:rPr>
      <w:sz w:val="16"/>
      <w:szCs w:val="16"/>
    </w:rPr>
  </w:style>
  <w:style w:type="paragraph" w:styleId="CommentText">
    <w:name w:val="annotation text"/>
    <w:basedOn w:val="Normal"/>
    <w:link w:val="CommentTextChar"/>
    <w:uiPriority w:val="99"/>
    <w:unhideWhenUsed/>
    <w:rsid w:val="002D0D20"/>
    <w:pPr>
      <w:spacing w:line="240" w:lineRule="auto"/>
    </w:pPr>
    <w:rPr>
      <w:sz w:val="20"/>
      <w:szCs w:val="20"/>
    </w:rPr>
  </w:style>
  <w:style w:type="character" w:customStyle="1" w:styleId="CommentTextChar">
    <w:name w:val="Comment Text Char"/>
    <w:basedOn w:val="DefaultParagraphFont"/>
    <w:link w:val="CommentText"/>
    <w:uiPriority w:val="99"/>
    <w:rsid w:val="002D0D2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2D0D20"/>
    <w:rPr>
      <w:b/>
      <w:bCs/>
    </w:rPr>
  </w:style>
  <w:style w:type="character" w:customStyle="1" w:styleId="CommentSubjectChar">
    <w:name w:val="Comment Subject Char"/>
    <w:basedOn w:val="CommentTextChar"/>
    <w:link w:val="CommentSubject"/>
    <w:uiPriority w:val="99"/>
    <w:semiHidden/>
    <w:rsid w:val="002D0D20"/>
    <w:rPr>
      <w:rFonts w:ascii="Times New Roman" w:eastAsia="Times New Roman" w:hAnsi="Times New Roman" w:cs="Times New Roman"/>
      <w:b/>
      <w:bCs/>
      <w:color w:val="000000"/>
      <w:sz w:val="20"/>
      <w:szCs w:val="20"/>
    </w:rPr>
  </w:style>
  <w:style w:type="character" w:styleId="UnresolvedMention">
    <w:name w:val="Unresolved Mention"/>
    <w:basedOn w:val="DefaultParagraphFont"/>
    <w:uiPriority w:val="99"/>
    <w:semiHidden/>
    <w:unhideWhenUsed/>
    <w:rsid w:val="009A3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284694">
      <w:bodyDiv w:val="1"/>
      <w:marLeft w:val="0"/>
      <w:marRight w:val="0"/>
      <w:marTop w:val="0"/>
      <w:marBottom w:val="0"/>
      <w:divBdr>
        <w:top w:val="none" w:sz="0" w:space="0" w:color="auto"/>
        <w:left w:val="none" w:sz="0" w:space="0" w:color="auto"/>
        <w:bottom w:val="none" w:sz="0" w:space="0" w:color="auto"/>
        <w:right w:val="none" w:sz="0" w:space="0" w:color="auto"/>
      </w:divBdr>
      <w:divsChild>
        <w:div w:id="92868271">
          <w:marLeft w:val="0"/>
          <w:marRight w:val="0"/>
          <w:marTop w:val="0"/>
          <w:marBottom w:val="0"/>
          <w:divBdr>
            <w:top w:val="none" w:sz="0" w:space="0" w:color="auto"/>
            <w:left w:val="none" w:sz="0" w:space="0" w:color="auto"/>
            <w:bottom w:val="none" w:sz="0" w:space="0" w:color="auto"/>
            <w:right w:val="none" w:sz="0" w:space="0" w:color="auto"/>
          </w:divBdr>
        </w:div>
        <w:div w:id="1191451900">
          <w:marLeft w:val="0"/>
          <w:marRight w:val="0"/>
          <w:marTop w:val="0"/>
          <w:marBottom w:val="0"/>
          <w:divBdr>
            <w:top w:val="none" w:sz="0" w:space="0" w:color="auto"/>
            <w:left w:val="none" w:sz="0" w:space="0" w:color="auto"/>
            <w:bottom w:val="none" w:sz="0" w:space="0" w:color="auto"/>
            <w:right w:val="none" w:sz="0" w:space="0" w:color="auto"/>
          </w:divBdr>
          <w:divsChild>
            <w:div w:id="1599869109">
              <w:marLeft w:val="0"/>
              <w:marRight w:val="0"/>
              <w:marTop w:val="0"/>
              <w:marBottom w:val="0"/>
              <w:divBdr>
                <w:top w:val="none" w:sz="0" w:space="0" w:color="auto"/>
                <w:left w:val="none" w:sz="0" w:space="0" w:color="auto"/>
                <w:bottom w:val="none" w:sz="0" w:space="0" w:color="auto"/>
                <w:right w:val="none" w:sz="0" w:space="0" w:color="auto"/>
              </w:divBdr>
            </w:div>
            <w:div w:id="1864172800">
              <w:marLeft w:val="0"/>
              <w:marRight w:val="0"/>
              <w:marTop w:val="0"/>
              <w:marBottom w:val="0"/>
              <w:divBdr>
                <w:top w:val="none" w:sz="0" w:space="0" w:color="auto"/>
                <w:left w:val="none" w:sz="0" w:space="0" w:color="auto"/>
                <w:bottom w:val="none" w:sz="0" w:space="0" w:color="auto"/>
                <w:right w:val="none" w:sz="0" w:space="0" w:color="auto"/>
              </w:divBdr>
            </w:div>
            <w:div w:id="17391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ginfo.legislature.ca.gov/faces/billNavClient.xhtml?bill_id=202320240AB1820" TargetMode="External"/><Relationship Id="rId18" Type="http://schemas.openxmlformats.org/officeDocument/2006/relationships/hyperlink" Target="https://leginfo.legislature.ca.gov/faces/billNavClient.xhtml?bill_id=202320240SB1164"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leginfo.legislature.ca.gov/faces/billNavClient.xhtml?bill_id=202320240SB1116" TargetMode="External"/><Relationship Id="rId7" Type="http://schemas.openxmlformats.org/officeDocument/2006/relationships/endnotes" Target="endnotes.xml"/><Relationship Id="rId12" Type="http://schemas.openxmlformats.org/officeDocument/2006/relationships/hyperlink" Target="https://leginfo.legislature.ca.gov/faces/billNavClient.xhtml?bill_id=202320240AB1820" TargetMode="External"/><Relationship Id="rId17" Type="http://schemas.openxmlformats.org/officeDocument/2006/relationships/hyperlink" Target="https://leginfo.legislature.ca.gov/faces/billTextClient.xhtml?bill_id=202320240AB1886"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eginfo.legislature.ca.gov/faces/billTextClient.xhtml?bill_id=202320240AB1886" TargetMode="External"/><Relationship Id="rId20" Type="http://schemas.openxmlformats.org/officeDocument/2006/relationships/hyperlink" Target="https://leginfo.legislature.ca.gov/faces/billNavClient.xhtml?bill_id=202320240SB111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nfo.legislature.ca.gov/faces/billNavClient.xhtml?bill_id=202320240SB937"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eginfo.legislature.ca.gov/faces/billNavClient.xhtml?bill_id=202320240SB915"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leginfo.legislature.ca.gov/faces/billNavClient.xhtml?bill_id=202320240SB937" TargetMode="External"/><Relationship Id="rId19" Type="http://schemas.openxmlformats.org/officeDocument/2006/relationships/hyperlink" Target="https://leginfo.legislature.ca.gov/faces/billNavClient.xhtml?bill_id=202320240SB1164" TargetMode="External"/><Relationship Id="rId4" Type="http://schemas.openxmlformats.org/officeDocument/2006/relationships/settings" Target="settings.xml"/><Relationship Id="rId9" Type="http://schemas.openxmlformats.org/officeDocument/2006/relationships/hyperlink" Target="https://us06web.zoom.us/j/84625771862?pwd=sJg2RZVZBlfNYTaP3WvX1Wq69p2ax5.1" TargetMode="External"/><Relationship Id="rId14" Type="http://schemas.openxmlformats.org/officeDocument/2006/relationships/hyperlink" Target="https://leginfo.legislature.ca.gov/faces/billNavClient.xhtml?bill_id=202320240SB915" TargetMode="External"/><Relationship Id="rId22" Type="http://schemas.openxmlformats.org/officeDocument/2006/relationships/header" Target="header1.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CE97A-045D-45BC-A081-D74857529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569</Words>
  <Characters>3792</Characters>
  <Application>Microsoft Office Word</Application>
  <DocSecurity>0</DocSecurity>
  <Lines>90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Creekmore</dc:creator>
  <cp:keywords/>
  <cp:lastModifiedBy>Azalea Renfield</cp:lastModifiedBy>
  <cp:revision>8</cp:revision>
  <dcterms:created xsi:type="dcterms:W3CDTF">2024-02-20T23:03:00Z</dcterms:created>
  <dcterms:modified xsi:type="dcterms:W3CDTF">2024-02-21T00:16:00Z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055316ecd98bfa92290528f9576d51f737978f2cbc96cf11677db694368adc00</vt:lpwstr>
  </property>
</Properties>
</file>